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597" w:rsidRPr="002C2484" w:rsidRDefault="001B6597" w:rsidP="001B6597">
      <w:pPr>
        <w:spacing w:line="360" w:lineRule="auto"/>
        <w:jc w:val="both"/>
        <w:rPr>
          <w:rFonts w:ascii="Palatino Linotype" w:hAnsi="Palatino Linotype" w:cs="Arial"/>
        </w:rPr>
      </w:pPr>
      <w:r w:rsidRPr="002C2484">
        <w:rPr>
          <w:rFonts w:ascii="Palatino Linotype" w:hAnsi="Palatino Linotype" w:cs="Arial"/>
          <w:b/>
        </w:rPr>
        <w:t>VOTO PARTICULAR DEL COMISIONADO JOSÉ GUADALUPE LUNA HERNÁNDEZ EN EL RECURSO DE REVISIÓN 02934/INFOEM/IP/RR/2018.</w:t>
      </w:r>
    </w:p>
    <w:p w:rsidR="001B6597" w:rsidRPr="002C2484" w:rsidRDefault="001B6597" w:rsidP="001B6597">
      <w:pPr>
        <w:spacing w:line="360" w:lineRule="auto"/>
        <w:jc w:val="both"/>
        <w:rPr>
          <w:rFonts w:ascii="Palatino Linotype" w:hAnsi="Palatino Linotype" w:cs="Arial"/>
          <w:b/>
          <w:i/>
        </w:rPr>
      </w:pPr>
    </w:p>
    <w:p w:rsidR="001B6597" w:rsidRPr="002C2484" w:rsidRDefault="001B6597" w:rsidP="001B6597">
      <w:pPr>
        <w:spacing w:line="360" w:lineRule="auto"/>
        <w:jc w:val="both"/>
        <w:rPr>
          <w:rFonts w:ascii="Palatino Linotype" w:hAnsi="Palatino Linotype" w:cs="Arial"/>
          <w:b/>
        </w:rPr>
      </w:pPr>
      <w:r w:rsidRPr="002C2484">
        <w:rPr>
          <w:rFonts w:ascii="Palatino Linotype" w:hAnsi="Palatino Linotype" w:cs="Arial"/>
          <w:b/>
        </w:rPr>
        <w:t>RESUMEN DEL VOTO</w:t>
      </w:r>
    </w:p>
    <w:p w:rsidR="001B6597" w:rsidRPr="002C2484" w:rsidRDefault="001B6597" w:rsidP="001B6597">
      <w:pPr>
        <w:spacing w:line="360" w:lineRule="auto"/>
        <w:jc w:val="both"/>
        <w:rPr>
          <w:rFonts w:ascii="Palatino Linotype" w:hAnsi="Palatino Linotype" w:cs="Arial"/>
          <w:b/>
          <w:bdr w:val="none" w:sz="0" w:space="0" w:color="auto"/>
        </w:rPr>
      </w:pPr>
    </w:p>
    <w:p w:rsidR="001B6597" w:rsidRPr="002C2484" w:rsidRDefault="001B6597" w:rsidP="001B6597">
      <w:pPr>
        <w:spacing w:line="360" w:lineRule="auto"/>
        <w:jc w:val="both"/>
        <w:rPr>
          <w:rFonts w:ascii="Palatino Linotype" w:hAnsi="Palatino Linotype" w:cs="Arial"/>
        </w:rPr>
      </w:pPr>
      <w:r w:rsidRPr="002C2484">
        <w:rPr>
          <w:rFonts w:ascii="Palatino Linotype" w:hAnsi="Palatino Linotype" w:cs="Arial"/>
        </w:rPr>
        <w:t xml:space="preserve">Para que el Sujeto Obligado determine clasificar la información como reservada,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1B6597" w:rsidRPr="002C2484" w:rsidRDefault="001B6597" w:rsidP="001B6597">
      <w:pPr>
        <w:spacing w:line="360" w:lineRule="auto"/>
        <w:jc w:val="both"/>
        <w:rPr>
          <w:rFonts w:ascii="Palatino Linotype" w:hAnsi="Palatino Linotype" w:cs="Arial"/>
        </w:rPr>
      </w:pPr>
    </w:p>
    <w:p w:rsidR="001B6597" w:rsidRPr="002C2484" w:rsidRDefault="001B6597" w:rsidP="001B6597">
      <w:pPr>
        <w:spacing w:line="360" w:lineRule="auto"/>
        <w:jc w:val="both"/>
        <w:rPr>
          <w:rFonts w:ascii="Palatino Linotype" w:hAnsi="Palatino Linotype" w:cs="Arial"/>
        </w:rPr>
      </w:pPr>
      <w:r w:rsidRPr="002C2484">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1B6597" w:rsidRPr="002C2484" w:rsidRDefault="001B6597" w:rsidP="001B6597">
      <w:pPr>
        <w:spacing w:line="360" w:lineRule="auto"/>
        <w:jc w:val="both"/>
        <w:rPr>
          <w:rFonts w:ascii="Palatino Linotype" w:hAnsi="Palatino Linotype" w:cs="Arial"/>
        </w:rPr>
      </w:pPr>
    </w:p>
    <w:p w:rsidR="001B6597" w:rsidRPr="002C2484" w:rsidRDefault="001B6597" w:rsidP="001B6597">
      <w:pPr>
        <w:spacing w:line="360" w:lineRule="auto"/>
        <w:jc w:val="both"/>
        <w:rPr>
          <w:rFonts w:ascii="Palatino Linotype" w:hAnsi="Palatino Linotype" w:cs="Arial"/>
        </w:rPr>
      </w:pPr>
      <w:r w:rsidRPr="002C2484">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1B6597" w:rsidRPr="002C2484" w:rsidRDefault="001B6597" w:rsidP="001B6597">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1B6597" w:rsidRPr="002C2484" w:rsidRDefault="001B6597" w:rsidP="001B6597">
          <w:pPr>
            <w:spacing w:line="360" w:lineRule="auto"/>
            <w:rPr>
              <w:rFonts w:ascii="Palatino Linotype" w:hAnsi="Palatino Linotype"/>
              <w:color w:val="2E74B5" w:themeColor="accent1" w:themeShade="BF"/>
              <w:lang w:val="es-ES"/>
            </w:rPr>
          </w:pPr>
        </w:p>
        <w:p w:rsidR="001B6597" w:rsidRPr="002C2484" w:rsidRDefault="001B6597" w:rsidP="001B6597">
          <w:pPr>
            <w:spacing w:line="360" w:lineRule="auto"/>
            <w:jc w:val="center"/>
            <w:rPr>
              <w:rFonts w:ascii="Palatino Linotype" w:hAnsi="Palatino Linotype"/>
              <w:b/>
              <w:color w:val="000000" w:themeColor="text1"/>
              <w:lang w:val="es-ES"/>
            </w:rPr>
          </w:pPr>
          <w:r w:rsidRPr="002C2484">
            <w:rPr>
              <w:rFonts w:ascii="Palatino Linotype" w:hAnsi="Palatino Linotype"/>
              <w:b/>
              <w:color w:val="000000" w:themeColor="text1"/>
              <w:lang w:val="es-ES"/>
            </w:rPr>
            <w:t>ÍNDICE</w:t>
          </w:r>
        </w:p>
        <w:p w:rsidR="001B6597" w:rsidRPr="002C2484" w:rsidRDefault="001B6597" w:rsidP="001B6597">
          <w:pPr>
            <w:spacing w:line="360" w:lineRule="auto"/>
            <w:rPr>
              <w:rFonts w:ascii="Palatino Linotype" w:hAnsi="Palatino Linotype"/>
              <w:b/>
              <w:lang w:val="es-ES" w:eastAsia="es-MX"/>
            </w:rPr>
          </w:pPr>
        </w:p>
        <w:p w:rsidR="001B6597" w:rsidRPr="002C2484" w:rsidRDefault="001B6597" w:rsidP="001B6597">
          <w:pPr>
            <w:pStyle w:val="TDC1"/>
            <w:rPr>
              <w:rFonts w:asciiTheme="minorHAnsi" w:eastAsiaTheme="minorEastAsia" w:hAnsiTheme="minorHAnsi" w:cstheme="minorBidi"/>
              <w:b/>
              <w:noProof/>
              <w:sz w:val="22"/>
              <w:szCs w:val="22"/>
              <w:bdr w:val="none" w:sz="0" w:space="0" w:color="auto"/>
              <w:lang w:eastAsia="es-MX"/>
            </w:rPr>
          </w:pPr>
          <w:r w:rsidRPr="002C2484">
            <w:rPr>
              <w:b/>
            </w:rPr>
            <w:fldChar w:fldCharType="begin"/>
          </w:r>
          <w:r w:rsidRPr="002C2484">
            <w:rPr>
              <w:b/>
            </w:rPr>
            <w:instrText xml:space="preserve"> TOC \o "1-3" \h \z \u </w:instrText>
          </w:r>
          <w:r w:rsidRPr="002C2484">
            <w:rPr>
              <w:b/>
            </w:rPr>
            <w:fldChar w:fldCharType="separate"/>
          </w:r>
          <w:hyperlink w:anchor="_Toc525561035" w:history="1">
            <w:r w:rsidRPr="002C2484">
              <w:rPr>
                <w:rStyle w:val="Hipervnculo"/>
                <w:noProof/>
              </w:rPr>
              <w:t>I. Consideraciones Generales</w:t>
            </w:r>
            <w:r w:rsidRPr="002C2484">
              <w:rPr>
                <w:b/>
                <w:noProof/>
                <w:webHidden/>
              </w:rPr>
              <w:tab/>
            </w:r>
            <w:r w:rsidRPr="002C2484">
              <w:rPr>
                <w:b/>
                <w:noProof/>
                <w:webHidden/>
              </w:rPr>
              <w:fldChar w:fldCharType="begin"/>
            </w:r>
            <w:r w:rsidRPr="002C2484">
              <w:rPr>
                <w:b/>
                <w:noProof/>
                <w:webHidden/>
              </w:rPr>
              <w:instrText xml:space="preserve"> PAGEREF _Toc525561035 \h </w:instrText>
            </w:r>
            <w:r w:rsidRPr="002C2484">
              <w:rPr>
                <w:b/>
                <w:noProof/>
                <w:webHidden/>
              </w:rPr>
            </w:r>
            <w:r w:rsidRPr="002C2484">
              <w:rPr>
                <w:b/>
                <w:noProof/>
                <w:webHidden/>
              </w:rPr>
              <w:fldChar w:fldCharType="separate"/>
            </w:r>
            <w:r w:rsidR="002C2484">
              <w:rPr>
                <w:b/>
                <w:noProof/>
                <w:webHidden/>
              </w:rPr>
              <w:t>2</w:t>
            </w:r>
            <w:r w:rsidRPr="002C2484">
              <w:rPr>
                <w:b/>
                <w:noProof/>
                <w:webHidden/>
              </w:rPr>
              <w:fldChar w:fldCharType="end"/>
            </w:r>
          </w:hyperlink>
        </w:p>
        <w:p w:rsidR="001B6597" w:rsidRPr="002C2484" w:rsidRDefault="00D0234C" w:rsidP="001B6597">
          <w:pPr>
            <w:pStyle w:val="TDC1"/>
            <w:rPr>
              <w:rFonts w:asciiTheme="minorHAnsi" w:eastAsiaTheme="minorEastAsia" w:hAnsiTheme="minorHAnsi" w:cstheme="minorBidi"/>
              <w:b/>
              <w:noProof/>
              <w:sz w:val="22"/>
              <w:szCs w:val="22"/>
              <w:bdr w:val="none" w:sz="0" w:space="0" w:color="auto"/>
              <w:lang w:eastAsia="es-MX"/>
            </w:rPr>
          </w:pPr>
          <w:hyperlink w:anchor="_Toc525561036" w:history="1">
            <w:r w:rsidR="001B6597" w:rsidRPr="002C2484">
              <w:rPr>
                <w:rStyle w:val="Hipervnculo"/>
                <w:noProof/>
              </w:rPr>
              <w:t>II.</w:t>
            </w:r>
            <w:r w:rsidR="001B6597" w:rsidRPr="002C2484">
              <w:rPr>
                <w:rFonts w:asciiTheme="minorHAnsi" w:eastAsiaTheme="minorEastAsia" w:hAnsiTheme="minorHAnsi" w:cstheme="minorBidi"/>
                <w:b/>
                <w:noProof/>
                <w:sz w:val="22"/>
                <w:szCs w:val="22"/>
                <w:bdr w:val="none" w:sz="0" w:space="0" w:color="auto"/>
                <w:lang w:eastAsia="es-MX"/>
              </w:rPr>
              <w:tab/>
            </w:r>
            <w:r w:rsidR="001B6597" w:rsidRPr="002C2484">
              <w:rPr>
                <w:rStyle w:val="Hipervnculo"/>
                <w:noProof/>
              </w:rPr>
              <w:t>De los requerimientos planteados en el recurso de revisión.</w:t>
            </w:r>
            <w:r w:rsidR="001B6597" w:rsidRPr="002C2484">
              <w:rPr>
                <w:b/>
                <w:noProof/>
                <w:webHidden/>
              </w:rPr>
              <w:tab/>
            </w:r>
            <w:r w:rsidR="001B6597" w:rsidRPr="002C2484">
              <w:rPr>
                <w:b/>
                <w:noProof/>
                <w:webHidden/>
              </w:rPr>
              <w:fldChar w:fldCharType="begin"/>
            </w:r>
            <w:r w:rsidR="001B6597" w:rsidRPr="002C2484">
              <w:rPr>
                <w:b/>
                <w:noProof/>
                <w:webHidden/>
              </w:rPr>
              <w:instrText xml:space="preserve"> PAGEREF _Toc525561036 \h </w:instrText>
            </w:r>
            <w:r w:rsidR="001B6597" w:rsidRPr="002C2484">
              <w:rPr>
                <w:b/>
                <w:noProof/>
                <w:webHidden/>
              </w:rPr>
            </w:r>
            <w:r w:rsidR="001B6597" w:rsidRPr="002C2484">
              <w:rPr>
                <w:b/>
                <w:noProof/>
                <w:webHidden/>
              </w:rPr>
              <w:fldChar w:fldCharType="separate"/>
            </w:r>
            <w:r w:rsidR="002C2484">
              <w:rPr>
                <w:b/>
                <w:noProof/>
                <w:webHidden/>
              </w:rPr>
              <w:t>3</w:t>
            </w:r>
            <w:r w:rsidR="001B6597" w:rsidRPr="002C2484">
              <w:rPr>
                <w:b/>
                <w:noProof/>
                <w:webHidden/>
              </w:rPr>
              <w:fldChar w:fldCharType="end"/>
            </w:r>
          </w:hyperlink>
        </w:p>
        <w:p w:rsidR="001B6597" w:rsidRPr="002C2484" w:rsidRDefault="00D0234C" w:rsidP="001B6597">
          <w:pPr>
            <w:pStyle w:val="TDC1"/>
            <w:rPr>
              <w:rFonts w:asciiTheme="minorHAnsi" w:eastAsiaTheme="minorEastAsia" w:hAnsiTheme="minorHAnsi" w:cstheme="minorBidi"/>
              <w:b/>
              <w:noProof/>
              <w:sz w:val="22"/>
              <w:szCs w:val="22"/>
              <w:bdr w:val="none" w:sz="0" w:space="0" w:color="auto"/>
              <w:lang w:eastAsia="es-MX"/>
            </w:rPr>
          </w:pPr>
          <w:hyperlink w:anchor="_Toc525561037" w:history="1">
            <w:r w:rsidR="001B6597" w:rsidRPr="002C2484">
              <w:rPr>
                <w:rStyle w:val="Hipervnculo"/>
                <w:noProof/>
              </w:rPr>
              <w:t>III.</w:t>
            </w:r>
            <w:r w:rsidR="001B6597" w:rsidRPr="002C2484">
              <w:rPr>
                <w:rFonts w:asciiTheme="minorHAnsi" w:eastAsiaTheme="minorEastAsia" w:hAnsiTheme="minorHAnsi" w:cstheme="minorBidi"/>
                <w:b/>
                <w:noProof/>
                <w:sz w:val="22"/>
                <w:szCs w:val="22"/>
                <w:bdr w:val="none" w:sz="0" w:space="0" w:color="auto"/>
                <w:lang w:eastAsia="es-MX"/>
              </w:rPr>
              <w:tab/>
            </w:r>
            <w:r w:rsidR="001B6597" w:rsidRPr="002C2484">
              <w:rPr>
                <w:rStyle w:val="Hipervnculo"/>
                <w:noProof/>
              </w:rPr>
              <w:t>De la respuesta del Sujeto Obligado.</w:t>
            </w:r>
            <w:r w:rsidR="001B6597" w:rsidRPr="002C2484">
              <w:rPr>
                <w:b/>
                <w:noProof/>
                <w:webHidden/>
              </w:rPr>
              <w:tab/>
            </w:r>
            <w:r w:rsidR="001B6597" w:rsidRPr="002C2484">
              <w:rPr>
                <w:b/>
                <w:noProof/>
                <w:webHidden/>
              </w:rPr>
              <w:fldChar w:fldCharType="begin"/>
            </w:r>
            <w:r w:rsidR="001B6597" w:rsidRPr="002C2484">
              <w:rPr>
                <w:b/>
                <w:noProof/>
                <w:webHidden/>
              </w:rPr>
              <w:instrText xml:space="preserve"> PAGEREF _Toc525561037 \h </w:instrText>
            </w:r>
            <w:r w:rsidR="001B6597" w:rsidRPr="002C2484">
              <w:rPr>
                <w:b/>
                <w:noProof/>
                <w:webHidden/>
              </w:rPr>
            </w:r>
            <w:r w:rsidR="001B6597" w:rsidRPr="002C2484">
              <w:rPr>
                <w:b/>
                <w:noProof/>
                <w:webHidden/>
              </w:rPr>
              <w:fldChar w:fldCharType="separate"/>
            </w:r>
            <w:r w:rsidR="002C2484">
              <w:rPr>
                <w:b/>
                <w:noProof/>
                <w:webHidden/>
              </w:rPr>
              <w:t>4</w:t>
            </w:r>
            <w:r w:rsidR="001B6597" w:rsidRPr="002C2484">
              <w:rPr>
                <w:b/>
                <w:noProof/>
                <w:webHidden/>
              </w:rPr>
              <w:fldChar w:fldCharType="end"/>
            </w:r>
          </w:hyperlink>
        </w:p>
        <w:p w:rsidR="001B6597" w:rsidRPr="002C2484" w:rsidRDefault="001B6597" w:rsidP="001B6597">
          <w:pPr>
            <w:spacing w:line="360" w:lineRule="auto"/>
            <w:rPr>
              <w:rFonts w:ascii="Palatino Linotype" w:hAnsi="Palatino Linotype"/>
              <w:b/>
              <w:bCs/>
              <w:color w:val="000000" w:themeColor="text1"/>
            </w:rPr>
          </w:pPr>
          <w:r w:rsidRPr="002C2484">
            <w:rPr>
              <w:rFonts w:ascii="Palatino Linotype" w:hAnsi="Palatino Linotype"/>
              <w:b/>
              <w:bCs/>
              <w:color w:val="000000" w:themeColor="text1"/>
            </w:rPr>
            <w:fldChar w:fldCharType="end"/>
          </w:r>
        </w:p>
      </w:sdtContent>
    </w:sdt>
    <w:p w:rsidR="001B6597" w:rsidRPr="002C2484" w:rsidRDefault="001B6597" w:rsidP="001B659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5561035"/>
      <w:r w:rsidRPr="002C2484">
        <w:rPr>
          <w:rFonts w:ascii="Palatino Linotype" w:eastAsiaTheme="majorEastAsia" w:hAnsi="Palatino Linotype" w:cstheme="majorBidi"/>
          <w:b/>
        </w:rPr>
        <w:t>I. Consideraciones Generales</w:t>
      </w:r>
      <w:bookmarkEnd w:id="0"/>
      <w:bookmarkEnd w:id="1"/>
    </w:p>
    <w:p w:rsidR="001B6597" w:rsidRPr="002C2484"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2C2484">
        <w:rPr>
          <w:rFonts w:ascii="Palatino Linotype" w:eastAsia="Times New Roman" w:hAnsi="Palatino Linotype" w:cs="Arial"/>
          <w:lang w:val="es-ES_tradnl"/>
        </w:rPr>
        <w:t xml:space="preserve">He concurrido con mi voto particular de la presente resolución emitida </w:t>
      </w:r>
      <w:r w:rsidRPr="002C2484">
        <w:rPr>
          <w:rFonts w:ascii="Palatino Linotype" w:hAnsi="Palatino Linotype" w:cs="Arial"/>
        </w:rPr>
        <w:t xml:space="preserve">por el Pleno del Instituto de Transparencia, Acceso a la Información Pública y Protección de Datos Personales del Estado de México y Municipios, en su Trigésima </w:t>
      </w:r>
      <w:r w:rsidR="00FE6B57" w:rsidRPr="002C2484">
        <w:rPr>
          <w:rFonts w:ascii="Palatino Linotype" w:hAnsi="Palatino Linotype" w:cs="Arial"/>
        </w:rPr>
        <w:t>Octava</w:t>
      </w:r>
      <w:r w:rsidRPr="002C2484">
        <w:rPr>
          <w:rFonts w:ascii="Palatino Linotype" w:hAnsi="Palatino Linotype" w:cs="Arial"/>
        </w:rPr>
        <w:t xml:space="preserve"> Sesión Ordinaria de fecha diecisiete (17) de octubre de dos mil dieciocho, en el recurso de revisión promovido por</w:t>
      </w:r>
      <w:r w:rsidRPr="002C2484">
        <w:rPr>
          <w:rFonts w:ascii="Palatino Linotype" w:hAnsi="Palatino Linotype" w:cs="Arial"/>
          <w:b/>
        </w:rPr>
        <w:t xml:space="preserve"> </w:t>
      </w:r>
      <w:r w:rsidR="00E44CE3" w:rsidRPr="00E44CE3">
        <w:rPr>
          <w:rFonts w:ascii="Palatino Linotype" w:hAnsi="Palatino Linotype" w:cs="Arial"/>
          <w:b/>
          <w:highlight w:val="black"/>
        </w:rPr>
        <w:t>---------------------------------------------------</w:t>
      </w:r>
      <w:r w:rsidRPr="002C2484">
        <w:rPr>
          <w:rFonts w:ascii="Palatino Linotype" w:hAnsi="Palatino Linotype" w:cs="Arial"/>
          <w:b/>
        </w:rPr>
        <w:t xml:space="preserve"> </w:t>
      </w:r>
      <w:r w:rsidRPr="002C2484">
        <w:rPr>
          <w:rFonts w:ascii="Palatino Linotype" w:hAnsi="Palatino Linotype" w:cs="Arial"/>
        </w:rPr>
        <w:t>,</w:t>
      </w:r>
      <w:r w:rsidRPr="002C2484">
        <w:rPr>
          <w:rFonts w:ascii="Palatino Linotype" w:hAnsi="Palatino Linotype" w:cs="Arial"/>
          <w:b/>
        </w:rPr>
        <w:t xml:space="preserve"> </w:t>
      </w:r>
      <w:r w:rsidRPr="002C2484">
        <w:rPr>
          <w:rFonts w:ascii="Palatino Linotype" w:hAnsi="Palatino Linotype" w:cs="Arial"/>
        </w:rPr>
        <w:t xml:space="preserve">en contra de la respuesta de la </w:t>
      </w:r>
      <w:r w:rsidRPr="002C2484">
        <w:rPr>
          <w:rFonts w:ascii="Palatino Linotype" w:eastAsia="Calibri" w:hAnsi="Palatino Linotype"/>
          <w:b/>
          <w:lang w:val="es-ES" w:eastAsia="es-ES"/>
        </w:rPr>
        <w:t>Secretaría General de Gobierno</w:t>
      </w:r>
      <w:r w:rsidRPr="002C2484">
        <w:rPr>
          <w:rFonts w:ascii="Palatino Linotype" w:hAnsi="Palatino Linotype" w:cs="Arial"/>
        </w:rPr>
        <w:t xml:space="preserve">, procedimiento al que se le asignó el número de expediente </w:t>
      </w:r>
      <w:r w:rsidRPr="002C2484">
        <w:rPr>
          <w:rFonts w:ascii="Palatino Linotype" w:eastAsia="Times New Roman" w:hAnsi="Palatino Linotype" w:cs="Arial"/>
          <w:b/>
          <w:bCs/>
          <w:lang w:eastAsia="es-ES"/>
        </w:rPr>
        <w:t>02934/INFOEM/IP/RR/2018.</w:t>
      </w:r>
    </w:p>
    <w:p w:rsidR="001B6597" w:rsidRPr="002C2484"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rPr>
        <w:t xml:space="preserve">Resultan parcialmente fundados los motivos de inconformidad que arguye </w:t>
      </w:r>
      <w:r w:rsidRPr="002C2484">
        <w:rPr>
          <w:rFonts w:ascii="Palatino Linotype" w:hAnsi="Palatino Linotype" w:cs="Arial"/>
          <w:b/>
        </w:rPr>
        <w:t>el recurrente</w:t>
      </w:r>
      <w:r w:rsidRPr="002C2484">
        <w:rPr>
          <w:rFonts w:ascii="Palatino Linotype" w:hAnsi="Palatino Linotype" w:cs="Arial"/>
        </w:rPr>
        <w:t xml:space="preserve">, en términos del Considerando Cuarto de la resolución, por lo que la ponencia encargada consideró </w:t>
      </w:r>
      <w:r w:rsidRPr="002C2484">
        <w:rPr>
          <w:rFonts w:ascii="Palatino Linotype" w:hAnsi="Palatino Linotype" w:cs="Arial"/>
          <w:b/>
        </w:rPr>
        <w:t xml:space="preserve">REVOCAR </w:t>
      </w:r>
      <w:r w:rsidRPr="002C2484">
        <w:rPr>
          <w:rFonts w:ascii="Palatino Linotype" w:hAnsi="Palatino Linotype" w:cs="Arial"/>
        </w:rPr>
        <w:t xml:space="preserve">la respuesta del Sujeto Obligado, sin embargo, mi voto particular se deriva del hecho de que resulta necesario señalar que para que sea procedente la reserva de información, es indispensable acreditar ciertos requisitos, los cuales se agotan actualizando cuatro tiempos y ratificando la </w:t>
      </w:r>
      <w:r w:rsidRPr="002C2484">
        <w:rPr>
          <w:rFonts w:ascii="Palatino Linotype" w:hAnsi="Palatino Linotype" w:cs="Arial"/>
        </w:rPr>
        <w:lastRenderedPageBreak/>
        <w:t xml:space="preserve">reserva de la misma, mediante la materialización de las facultades concedidas al instituto, para verificar la naturaleza de la información y con ello dar certeza y firmeza a las resoluciones emitidas. </w:t>
      </w:r>
    </w:p>
    <w:p w:rsidR="001B6597" w:rsidRPr="002C2484" w:rsidRDefault="001B6597" w:rsidP="001B6597">
      <w:pPr>
        <w:pStyle w:val="Prrafodelista"/>
        <w:spacing w:line="360" w:lineRule="auto"/>
        <w:rPr>
          <w:rFonts w:ascii="Palatino Linotype" w:hAnsi="Palatino Linotype" w:cs="Arial"/>
          <w:color w:val="000000" w:themeColor="text1"/>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color w:val="000000" w:themeColor="text1"/>
        </w:rPr>
        <w:t xml:space="preserve">Por los motivos y las razones de hecho y de derecho que se señalan a continuación y en términos de lo señalado por el artículo 14 fracción XI del Reglamento Interior del Instituto de Transparencia y Acceso a la Información Pública del Estado de México y Municipios, formulo el presente voto particular. </w:t>
      </w:r>
    </w:p>
    <w:p w:rsidR="001B6597" w:rsidRPr="002C2484" w:rsidRDefault="001B6597" w:rsidP="001B6597">
      <w:pPr>
        <w:pStyle w:val="Prrafodelista"/>
        <w:spacing w:line="360" w:lineRule="auto"/>
        <w:rPr>
          <w:rFonts w:ascii="Palatino Linotype" w:hAnsi="Palatino Linotype" w:cs="Arial"/>
          <w:color w:val="000000" w:themeColor="text1"/>
          <w:lang w:val="es-ES"/>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color w:val="000000" w:themeColor="text1"/>
          <w:lang w:val="es-ES"/>
        </w:rPr>
        <w:t>Al presentar este voto particular deseo manifestar lo que en su momento señalé durante la discusión de esta resolución en el Pleno de este órgano Garante, especificando que no comparto la decisión adoptada por la mayoría de los Comisionados integrantes del Pleno, en el sentido y razonamientos de la resolución del recurso de revisión registrado con el número de expediente al rubro indicado, por las consideraciones que se plasman en los párrafos siguientes.</w:t>
      </w:r>
    </w:p>
    <w:p w:rsidR="001B6597" w:rsidRPr="002C2484"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1B6597" w:rsidRPr="002C2484" w:rsidRDefault="001B6597" w:rsidP="001B6597">
      <w:pPr>
        <w:pStyle w:val="Ttulo1"/>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ind w:left="1134" w:hanging="360"/>
      </w:pPr>
      <w:bookmarkStart w:id="2" w:name="_Toc473810012"/>
      <w:bookmarkStart w:id="3" w:name="_Toc525561036"/>
      <w:bookmarkStart w:id="4" w:name="_Toc472594392"/>
      <w:bookmarkStart w:id="5" w:name="_Toc485911590"/>
      <w:r w:rsidRPr="002C2484">
        <w:t>De los requerimientos planteados en el recurso de revisión.</w:t>
      </w:r>
      <w:bookmarkEnd w:id="2"/>
      <w:bookmarkEnd w:id="3"/>
    </w:p>
    <w:p w:rsidR="001B6597" w:rsidRPr="002C2484" w:rsidRDefault="001B6597" w:rsidP="001B6597">
      <w:pPr>
        <w:pStyle w:val="Prrafodelista"/>
        <w:spacing w:line="360" w:lineRule="auto"/>
        <w:ind w:left="1080"/>
        <w:jc w:val="both"/>
        <w:rPr>
          <w:rFonts w:ascii="Palatino Linotype" w:hAnsi="Palatino Linotype" w:cs="Arial"/>
          <w:b/>
        </w:rPr>
      </w:pPr>
    </w:p>
    <w:p w:rsidR="001B6597" w:rsidRPr="002C2484" w:rsidRDefault="001B6597" w:rsidP="00914A4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r w:rsidRPr="002C2484">
        <w:rPr>
          <w:rFonts w:ascii="Palatino Linotype" w:hAnsi="Palatino Linotype" w:cs="Arial"/>
        </w:rPr>
        <w:t>El particular requirió de</w:t>
      </w:r>
      <w:r w:rsidR="00914A41" w:rsidRPr="002C2484">
        <w:rPr>
          <w:rFonts w:ascii="Palatino Linotype" w:hAnsi="Palatino Linotype" w:cs="Arial"/>
        </w:rPr>
        <w:t xml:space="preserve"> </w:t>
      </w:r>
      <w:r w:rsidRPr="002C2484">
        <w:rPr>
          <w:rFonts w:ascii="Palatino Linotype" w:hAnsi="Palatino Linotype" w:cs="Arial"/>
        </w:rPr>
        <w:t>l</w:t>
      </w:r>
      <w:r w:rsidR="00914A41" w:rsidRPr="002C2484">
        <w:rPr>
          <w:rFonts w:ascii="Palatino Linotype" w:hAnsi="Palatino Linotype" w:cs="Arial"/>
        </w:rPr>
        <w:t>a</w:t>
      </w:r>
      <w:r w:rsidRPr="002C2484">
        <w:rPr>
          <w:rFonts w:ascii="Palatino Linotype" w:hAnsi="Palatino Linotype" w:cs="Arial"/>
        </w:rPr>
        <w:t xml:space="preserve"> </w:t>
      </w:r>
      <w:r w:rsidR="00914A41" w:rsidRPr="002C2484">
        <w:rPr>
          <w:rFonts w:ascii="Palatino Linotype" w:hAnsi="Palatino Linotype"/>
          <w:b/>
        </w:rPr>
        <w:t xml:space="preserve">Secretaría General de Gobierno </w:t>
      </w:r>
      <w:r w:rsidRPr="002C2484">
        <w:rPr>
          <w:rFonts w:ascii="Palatino Linotype" w:hAnsi="Palatino Linotype" w:cs="Arial"/>
        </w:rPr>
        <w:t xml:space="preserve">lo siguiente: </w:t>
      </w:r>
      <w:r w:rsidRPr="002C2484">
        <w:rPr>
          <w:rFonts w:ascii="Palatino Linotype" w:hAnsi="Palatino Linotype" w:cs="Arial"/>
          <w:b/>
        </w:rPr>
        <w:t xml:space="preserve"> </w:t>
      </w:r>
    </w:p>
    <w:p w:rsidR="001B6597" w:rsidRPr="002C2484" w:rsidRDefault="001B6597" w:rsidP="001B6597">
      <w:pPr>
        <w:pStyle w:val="Prrafodelista"/>
        <w:spacing w:line="360" w:lineRule="auto"/>
        <w:ind w:left="360"/>
        <w:jc w:val="both"/>
        <w:rPr>
          <w:rFonts w:ascii="Palatino Linotype" w:eastAsia="Times New Roman" w:hAnsi="Palatino Linotype"/>
          <w:i/>
          <w:lang w:val="es-ES_tradnl" w:eastAsia="es-ES"/>
        </w:rPr>
      </w:pPr>
      <w:r w:rsidRPr="002C2484">
        <w:rPr>
          <w:rFonts w:ascii="Palatino Linotype" w:hAnsi="Palatino Linotype" w:cs="Arial"/>
        </w:rPr>
        <w:t xml:space="preserve"> </w:t>
      </w:r>
    </w:p>
    <w:p w:rsidR="001B6597" w:rsidRPr="002C2484" w:rsidRDefault="001B6597" w:rsidP="001B6597">
      <w:pPr>
        <w:spacing w:line="360" w:lineRule="auto"/>
        <w:ind w:left="567" w:right="616"/>
        <w:jc w:val="both"/>
        <w:rPr>
          <w:rFonts w:ascii="Palatino Linotype" w:hAnsi="Palatino Linotype"/>
          <w:sz w:val="22"/>
          <w:szCs w:val="22"/>
        </w:rPr>
      </w:pPr>
      <w:r w:rsidRPr="002C2484">
        <w:rPr>
          <w:rFonts w:ascii="Palatino Linotype" w:hAnsi="Palatino Linotype" w:cs="Arial"/>
          <w:i/>
          <w:sz w:val="22"/>
          <w:szCs w:val="22"/>
        </w:rPr>
        <w:t>“</w:t>
      </w:r>
      <w:r w:rsidR="00914A41" w:rsidRPr="002C2484">
        <w:rPr>
          <w:rFonts w:ascii="Palatino Linotype" w:hAnsi="Palatino Linotype" w:cs="Arial"/>
          <w:i/>
          <w:sz w:val="22"/>
          <w:szCs w:val="22"/>
        </w:rPr>
        <w:t xml:space="preserve">Versión pública del </w:t>
      </w:r>
      <w:proofErr w:type="spellStart"/>
      <w:r w:rsidR="00914A41" w:rsidRPr="002C2484">
        <w:rPr>
          <w:rFonts w:ascii="Palatino Linotype" w:hAnsi="Palatino Linotype" w:cs="Arial"/>
          <w:i/>
          <w:sz w:val="22"/>
          <w:szCs w:val="22"/>
        </w:rPr>
        <w:t>expendiente</w:t>
      </w:r>
      <w:proofErr w:type="spellEnd"/>
      <w:r w:rsidR="00914A41" w:rsidRPr="002C2484">
        <w:rPr>
          <w:rFonts w:ascii="Palatino Linotype" w:hAnsi="Palatino Linotype" w:cs="Arial"/>
          <w:i/>
          <w:sz w:val="22"/>
          <w:szCs w:val="22"/>
        </w:rPr>
        <w:t xml:space="preserve"> CV-040/2005 que obra en los archivos de la coordinación general de protección civil del estado de México así proporcione información de </w:t>
      </w:r>
      <w:proofErr w:type="spellStart"/>
      <w:r w:rsidR="00914A41" w:rsidRPr="002C2484">
        <w:rPr>
          <w:rFonts w:ascii="Palatino Linotype" w:hAnsi="Palatino Linotype" w:cs="Arial"/>
          <w:i/>
          <w:sz w:val="22"/>
          <w:szCs w:val="22"/>
        </w:rPr>
        <w:t>cuales</w:t>
      </w:r>
      <w:proofErr w:type="spellEnd"/>
      <w:r w:rsidR="00914A41" w:rsidRPr="002C2484">
        <w:rPr>
          <w:rFonts w:ascii="Palatino Linotype" w:hAnsi="Palatino Linotype" w:cs="Arial"/>
          <w:i/>
          <w:sz w:val="22"/>
          <w:szCs w:val="22"/>
        </w:rPr>
        <w:t xml:space="preserve"> son las sustancias peligrosas que maneja la empresas que rodean </w:t>
      </w:r>
      <w:r w:rsidR="00914A41" w:rsidRPr="002C2484">
        <w:rPr>
          <w:rFonts w:ascii="Palatino Linotype" w:hAnsi="Palatino Linotype" w:cs="Arial"/>
          <w:i/>
          <w:sz w:val="22"/>
          <w:szCs w:val="22"/>
        </w:rPr>
        <w:lastRenderedPageBreak/>
        <w:t>al conjunto habitacional ángeles San José y/o Hacienda San José ubicado en avenida San José 120 fraccionamiento industrial la presa Tlalnepantla estado de México y cuáles serán las afectaciones físicas a la infraestructura del conjunto antes mencionado derivadas de la aplicación del acto de autoridad ordenado en el oficio SGG/CGPC/O-5847/2018 emitido por Arturo Vilchis Esquivel Coordinador general de protección civil estatal, que informe todas y cada una de las consecuencias de su actuar documentadas en su área y que tengan relación con el conjunto urbano antes descrito</w:t>
      </w:r>
      <w:r w:rsidRPr="002C2484">
        <w:rPr>
          <w:rFonts w:ascii="Palatino Linotype" w:hAnsi="Palatino Linotype" w:cs="Arial"/>
          <w:i/>
          <w:sz w:val="22"/>
          <w:szCs w:val="22"/>
        </w:rPr>
        <w:t xml:space="preserve">.” </w:t>
      </w:r>
      <w:r w:rsidRPr="002C2484">
        <w:rPr>
          <w:rFonts w:ascii="Palatino Linotype" w:hAnsi="Palatino Linotype"/>
          <w:sz w:val="22"/>
          <w:szCs w:val="22"/>
        </w:rPr>
        <w:t>(Sic).</w:t>
      </w:r>
    </w:p>
    <w:p w:rsidR="001B6597" w:rsidRPr="002C2484" w:rsidRDefault="001B6597" w:rsidP="001B6597">
      <w:pPr>
        <w:pStyle w:val="Sinespaciado"/>
        <w:spacing w:line="360" w:lineRule="auto"/>
        <w:ind w:left="360" w:right="334"/>
        <w:jc w:val="both"/>
        <w:rPr>
          <w:rFonts w:ascii="Palatino Linotype" w:hAnsi="Palatino Linotype" w:cs="Arial"/>
          <w:i/>
          <w:color w:val="000000" w:themeColor="text1"/>
          <w:sz w:val="24"/>
          <w:szCs w:val="24"/>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2C2484">
        <w:rPr>
          <w:rFonts w:ascii="Palatino Linotype" w:hAnsi="Palatino Linotype" w:cs="Arial"/>
        </w:rPr>
        <w:t>El Sujeto Obligado mediante su escrito dio respuesta a la solicitud de información, de la siguiente manera:</w:t>
      </w:r>
    </w:p>
    <w:p w:rsidR="001B6597" w:rsidRPr="002C2484" w:rsidRDefault="001B6597" w:rsidP="00914A41">
      <w:pPr>
        <w:pStyle w:val="Prrafodelista"/>
        <w:spacing w:line="360" w:lineRule="auto"/>
        <w:ind w:left="0"/>
        <w:jc w:val="both"/>
        <w:rPr>
          <w:rFonts w:ascii="Palatino Linotype" w:eastAsia="Times New Roman" w:hAnsi="Palatino Linotype"/>
          <w:i/>
          <w:lang w:val="es-ES_tradnl" w:eastAsia="es-ES"/>
        </w:rPr>
      </w:pPr>
    </w:p>
    <w:p w:rsidR="00914A41" w:rsidRPr="002C2484" w:rsidRDefault="001B6597" w:rsidP="00914A41">
      <w:pPr>
        <w:spacing w:line="360" w:lineRule="auto"/>
        <w:ind w:left="851" w:right="899"/>
        <w:jc w:val="both"/>
        <w:rPr>
          <w:rFonts w:ascii="Palatino Linotype" w:hAnsi="Palatino Linotype" w:cs="Arial"/>
          <w:i/>
          <w:sz w:val="22"/>
          <w:szCs w:val="22"/>
        </w:rPr>
      </w:pPr>
      <w:r w:rsidRPr="002C2484">
        <w:rPr>
          <w:rFonts w:ascii="Palatino Linotype" w:hAnsi="Palatino Linotype" w:cs="Arial"/>
          <w:i/>
          <w:sz w:val="22"/>
          <w:szCs w:val="22"/>
        </w:rPr>
        <w:t>“</w:t>
      </w:r>
      <w:r w:rsidR="00914A41" w:rsidRPr="002C2484">
        <w:rPr>
          <w:rFonts w:ascii="Palatino Linotype" w:hAnsi="Palatino Linotype" w:cs="Arial"/>
          <w:i/>
          <w:sz w:val="22"/>
          <w:szCs w:val="22"/>
        </w:rPr>
        <w:t xml:space="preserve">… Su solicitud de información fue turnada al Servidor Público Habilitado de la Coordinación General de Protección Civil, mismo que mediante oficio número SGG/CGPC/O-6485/2018 de fecha 6 de agosto del año en curso, remite la respuesta a esta Dirección </w:t>
      </w:r>
    </w:p>
    <w:p w:rsidR="00914A41" w:rsidRPr="002C2484" w:rsidRDefault="00914A41" w:rsidP="00914A41">
      <w:pPr>
        <w:spacing w:line="360" w:lineRule="auto"/>
        <w:ind w:left="851" w:right="899"/>
        <w:jc w:val="both"/>
        <w:rPr>
          <w:rFonts w:ascii="Palatino Linotype" w:hAnsi="Palatino Linotype" w:cs="Arial"/>
          <w:i/>
          <w:sz w:val="22"/>
          <w:szCs w:val="22"/>
        </w:rPr>
      </w:pPr>
      <w:r w:rsidRPr="002C2484">
        <w:rPr>
          <w:rFonts w:ascii="Palatino Linotype" w:hAnsi="Palatino Linotype" w:cs="Arial"/>
          <w:i/>
          <w:sz w:val="22"/>
          <w:szCs w:val="22"/>
        </w:rPr>
        <w:t>General, solicitando someter a consideración del Comité de Transparencia la Clasificación de Información como Reservada en su totalidad del Expediente número CV-040/2005, por los motivos que expone en dicha respuesta…”</w:t>
      </w:r>
    </w:p>
    <w:p w:rsidR="00914A41" w:rsidRPr="002C2484" w:rsidRDefault="00914A41" w:rsidP="00914A41">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2C2484">
        <w:rPr>
          <w:rFonts w:ascii="Palatino Linotype" w:hAnsi="Palatino Linotype" w:cs="Arial"/>
        </w:rPr>
        <w:t>En ese sentido,</w:t>
      </w:r>
      <w:r w:rsidRPr="002C2484">
        <w:rPr>
          <w:rFonts w:ascii="Palatino Linotype" w:hAnsi="Palatino Linotype" w:cs="Arial"/>
          <w:b/>
        </w:rPr>
        <w:t xml:space="preserve"> </w:t>
      </w:r>
      <w:r w:rsidRPr="002C2484">
        <w:rPr>
          <w:rFonts w:ascii="Palatino Linotype" w:hAnsi="Palatino Linotype" w:cs="Arial"/>
        </w:rPr>
        <w:t>el particular en sus motivos de inconformidad, se duele arguyendo</w:t>
      </w:r>
      <w:r w:rsidR="0073790E" w:rsidRPr="002C2484">
        <w:rPr>
          <w:rFonts w:ascii="Palatino Linotype" w:hAnsi="Palatino Linotype" w:cs="Arial"/>
        </w:rPr>
        <w:t xml:space="preserve"> la negativa a proporcionar una versión pública para una comunidad de 420 familias afectadas en su patrimonio por protección civil</w:t>
      </w:r>
      <w:bookmarkStart w:id="6" w:name="_Toc525561037"/>
      <w:r w:rsidR="000A770B" w:rsidRPr="002C2484">
        <w:rPr>
          <w:rFonts w:ascii="Palatino Linotype" w:hAnsi="Palatino Linotype" w:cs="Arial"/>
        </w:rPr>
        <w:t xml:space="preserve">, así como la entrega parcial de información clasificada para ocultar por cinco años actos jurídicos de </w:t>
      </w:r>
      <w:r w:rsidR="000A770B" w:rsidRPr="002C2484">
        <w:rPr>
          <w:rFonts w:ascii="Palatino Linotype" w:hAnsi="Palatino Linotype" w:cs="Arial"/>
        </w:rPr>
        <w:lastRenderedPageBreak/>
        <w:t xml:space="preserve">gobierno posiblemente constitutivos de delito que no podrán ser sancionados si no se tiene una versión pública. </w:t>
      </w:r>
    </w:p>
    <w:p w:rsidR="0073790E" w:rsidRPr="002C2484" w:rsidRDefault="0073790E" w:rsidP="0073790E">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597" w:rsidRPr="002C2484" w:rsidRDefault="001B6597" w:rsidP="001B6597">
      <w:pPr>
        <w:pStyle w:val="Ttulo1"/>
        <w:pBdr>
          <w:top w:val="none" w:sz="0" w:space="0" w:color="auto"/>
          <w:left w:val="none" w:sz="0" w:space="0" w:color="auto"/>
          <w:bottom w:val="none" w:sz="0" w:space="0" w:color="auto"/>
          <w:right w:val="none" w:sz="0" w:space="0" w:color="auto"/>
          <w:between w:val="none" w:sz="0" w:space="0" w:color="auto"/>
          <w:bar w:val="none" w:sz="0" w:color="auto"/>
        </w:pBdr>
        <w:spacing w:before="0" w:line="360" w:lineRule="auto"/>
        <w:ind w:left="1134" w:hanging="360"/>
      </w:pPr>
      <w:r w:rsidRPr="002C2484">
        <w:t>De la respuesta del Sujeto Obligado.</w:t>
      </w:r>
      <w:bookmarkEnd w:id="4"/>
      <w:bookmarkEnd w:id="5"/>
      <w:bookmarkEnd w:id="6"/>
    </w:p>
    <w:p w:rsidR="001B6597" w:rsidRPr="002C2484" w:rsidRDefault="001B6597" w:rsidP="001B6597">
      <w:pPr>
        <w:spacing w:line="360" w:lineRule="auto"/>
        <w:rPr>
          <w:rFonts w:ascii="Palatino Linotype" w:hAnsi="Palatino Linotype"/>
          <w:color w:val="000000" w:themeColor="text1"/>
        </w:rPr>
      </w:pPr>
    </w:p>
    <w:p w:rsidR="001B6597" w:rsidRPr="002C2484" w:rsidRDefault="000A770B"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2C2484">
        <w:rPr>
          <w:rFonts w:ascii="Palatino Linotype" w:hAnsi="Palatino Linotype" w:cs="Arial"/>
          <w:color w:val="000000"/>
        </w:rPr>
        <w:t>E</w:t>
      </w:r>
      <w:r w:rsidR="001B6597" w:rsidRPr="002C2484">
        <w:rPr>
          <w:rFonts w:ascii="Palatino Linotype" w:hAnsi="Palatino Linotype" w:cs="Arial"/>
        </w:rPr>
        <w:t xml:space="preserve">l Sujeto Obligado refiere que </w:t>
      </w:r>
      <w:r w:rsidRPr="002C2484">
        <w:rPr>
          <w:rFonts w:ascii="Palatino Linotype" w:hAnsi="Palatino Linotype" w:cs="Arial"/>
        </w:rPr>
        <w:t xml:space="preserve">el expediente CV-040/2005 contiene información susceptible de protegerse en razón de que recae en los supuestos de reserva de la información ya que se encuentra inmerso en un juicio administrativo. </w:t>
      </w:r>
    </w:p>
    <w:p w:rsidR="001B6597" w:rsidRPr="002C2484"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rPr>
        <w:t>De lo anterior, 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2C2484">
        <w:rPr>
          <w:rFonts w:ascii="Palatino Linotype" w:hAnsi="Palatino Linotype" w:cs="Arial"/>
          <w:b/>
        </w:rPr>
        <w:t xml:space="preserve">La existencia de un juicio o procedimiento administrativo materialmente jurisdiccional. </w:t>
      </w:r>
    </w:p>
    <w:p w:rsidR="001B6597" w:rsidRPr="002C2484" w:rsidRDefault="001B6597" w:rsidP="001B659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1B6597" w:rsidRPr="002C2484"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2C2484">
        <w:rPr>
          <w:rFonts w:ascii="Palatino Linotype" w:hAnsi="Palatino Linotype" w:cs="Arial"/>
          <w:b/>
        </w:rPr>
        <w:t>Que el juicio se encuentre en trámite, es decir, que no haya causado estad.</w:t>
      </w:r>
    </w:p>
    <w:p w:rsidR="001B6597" w:rsidRPr="002C2484" w:rsidRDefault="001B6597" w:rsidP="001B659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2C2484">
        <w:rPr>
          <w:rFonts w:ascii="Palatino Linotype" w:hAnsi="Palatino Linotype" w:cs="Arial"/>
          <w:b/>
        </w:rPr>
        <w:t xml:space="preserve"> </w:t>
      </w:r>
    </w:p>
    <w:p w:rsidR="001B6597" w:rsidRPr="002C2484"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2C2484">
        <w:rPr>
          <w:rFonts w:ascii="Palatino Linotype" w:hAnsi="Palatino Linotype" w:cs="Arial"/>
          <w:b/>
        </w:rPr>
        <w:t xml:space="preserve">El vínculo entre la información solicitada y el procedimiento judicial de que se trate. </w:t>
      </w:r>
    </w:p>
    <w:p w:rsidR="001B6597" w:rsidRPr="002C2484" w:rsidRDefault="001B6597" w:rsidP="001B659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1B6597" w:rsidRPr="002C2484" w:rsidRDefault="001B6597" w:rsidP="001B6597">
      <w:pPr>
        <w:pStyle w:val="Prrafodelista"/>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2C2484">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1B6597" w:rsidRPr="002C2484" w:rsidRDefault="001B6597" w:rsidP="001B6597">
      <w:pPr>
        <w:pStyle w:val="Prrafodelista"/>
        <w:spacing w:before="240" w:after="240" w:line="360" w:lineRule="auto"/>
        <w:ind w:left="0"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2C2484">
        <w:rPr>
          <w:rFonts w:ascii="Palatino Linotype" w:hAnsi="Palatino Linotype" w:cs="Arial"/>
        </w:rPr>
        <w:t xml:space="preserve">Por lo que, únicamente al configurarse los mismos, es procedente la reserva de la información, si uno de los requisitos faltase, no será en ningún momento posible su reserva. </w:t>
      </w:r>
    </w:p>
    <w:p w:rsidR="001B6597" w:rsidRPr="002C2484" w:rsidRDefault="001B6597" w:rsidP="001B6597">
      <w:pPr>
        <w:pStyle w:val="Prrafodelista"/>
        <w:spacing w:before="240" w:after="240" w:line="360" w:lineRule="auto"/>
        <w:ind w:left="0"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2C2484">
        <w:rPr>
          <w:rFonts w:ascii="Palatino Linotype" w:hAnsi="Palatino Linotype" w:cs="Arial"/>
        </w:rPr>
        <w:t xml:space="preserve">Del expediente, objeto de mi presente voto particular, advierto que del estudio minucioso de la resolución dictada por la ponencia resolutoria, se desprende lo siguiente: </w:t>
      </w: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pStyle w:val="Prrafodelist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sidRPr="002C2484">
        <w:rPr>
          <w:rFonts w:ascii="Palatino Linotype" w:hAnsi="Palatino Linotype" w:cs="Arial"/>
        </w:rPr>
        <w:t>El Sujeto Obligado reservó la información sin analizar la naturaleza de la misma, sin ajustar las circunstancias de modo tiempo y lugar a la hipótesis que configura la reserva, por lo que la prueba de daño que pretendió realizar fue de manera incorrecta.</w:t>
      </w:r>
    </w:p>
    <w:p w:rsidR="001B6597" w:rsidRPr="002C2484" w:rsidRDefault="001B6597" w:rsidP="001B6597">
      <w:pPr>
        <w:pStyle w:val="Prrafodelista"/>
        <w:spacing w:before="240" w:after="240" w:line="360" w:lineRule="auto"/>
        <w:ind w:left="567" w:right="616" w:hanging="11"/>
        <w:jc w:val="both"/>
        <w:rPr>
          <w:rFonts w:ascii="Palatino Linotype" w:hAnsi="Palatino Linotype" w:cs="Arial"/>
        </w:rPr>
      </w:pPr>
    </w:p>
    <w:p w:rsidR="001B6597" w:rsidRPr="002C2484" w:rsidRDefault="001B6597" w:rsidP="001B6597">
      <w:pPr>
        <w:pStyle w:val="Prrafodelista"/>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rPr>
      </w:pPr>
      <w:r w:rsidRPr="002C2484">
        <w:rPr>
          <w:rFonts w:ascii="Palatino Linotype" w:hAnsi="Palatino Linotype" w:cs="Arial"/>
        </w:rPr>
        <w:t xml:space="preserve">La ponencia tampoco analizó tales circunstancias, ni materializo la facultad que la ley confiere en sus artículos 182 y 185 de la Ley de la materia. </w:t>
      </w:r>
    </w:p>
    <w:p w:rsidR="001B6597" w:rsidRPr="002C2484" w:rsidRDefault="001B6597" w:rsidP="001B6597">
      <w:pPr>
        <w:pStyle w:val="Prrafodelista"/>
        <w:spacing w:line="360" w:lineRule="auto"/>
        <w:ind w:left="1571"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2C2484">
        <w:rPr>
          <w:rFonts w:ascii="Palatino Linotype" w:hAnsi="Palatino Linotype" w:cs="Arial"/>
        </w:rPr>
        <w:t xml:space="preserve">De lo anterior, se entiende que en ningún momento el Sujeto Obligado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 resulta erróneo reservar la información.  </w:t>
      </w:r>
    </w:p>
    <w:p w:rsidR="001B6597" w:rsidRPr="002C2484" w:rsidRDefault="001B6597" w:rsidP="001B6597">
      <w:pPr>
        <w:pStyle w:val="Prrafodelista"/>
        <w:spacing w:line="360" w:lineRule="auto"/>
        <w:ind w:left="0"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2C2484">
        <w:rPr>
          <w:rFonts w:ascii="Palatino Linotype" w:hAnsi="Palatino Linotype" w:cs="Arial"/>
        </w:rPr>
        <w:t xml:space="preserve">Respecto al análisis realizado por la ponencia </w:t>
      </w:r>
      <w:proofErr w:type="spellStart"/>
      <w:r w:rsidRPr="002C2484">
        <w:rPr>
          <w:rFonts w:ascii="Palatino Linotype" w:hAnsi="Palatino Linotype" w:cs="Arial"/>
        </w:rPr>
        <w:t>resolutora</w:t>
      </w:r>
      <w:proofErr w:type="spellEnd"/>
      <w:r w:rsidRPr="002C2484">
        <w:rPr>
          <w:rFonts w:ascii="Palatino Linotype" w:hAnsi="Palatino Linotype" w:cs="Arial"/>
        </w:rPr>
        <w:t xml:space="preserve"> 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rPr>
        <w:t xml:space="preserve">Es imprescriptible señalar que en el presente año, este Órgano </w:t>
      </w:r>
      <w:proofErr w:type="spellStart"/>
      <w:r w:rsidRPr="002C2484">
        <w:rPr>
          <w:rFonts w:ascii="Palatino Linotype" w:hAnsi="Palatino Linotype" w:cs="Arial"/>
        </w:rPr>
        <w:t>Resolutor</w:t>
      </w:r>
      <w:proofErr w:type="spellEnd"/>
      <w:r w:rsidRPr="002C2484">
        <w:rPr>
          <w:rFonts w:ascii="Palatino Linotype" w:hAnsi="Palatino Linotype" w:cs="Arial"/>
        </w:rPr>
        <w:t xml:space="preserve"> ha sido sometido a un estricto control por parte del Instituto Nacional de Transparencia, Acceso a la Información y Protección de Datos Personales (INAI), como resultado de los Recursos de Inconformidad </w:t>
      </w:r>
      <w:r w:rsidRPr="002C2484">
        <w:rPr>
          <w:rFonts w:ascii="Palatino Linotype" w:hAnsi="Palatino Linotype" w:cs="Arial"/>
          <w:lang w:eastAsia="es-MX"/>
        </w:rPr>
        <w:t>069/18 y RIA 082/18</w:t>
      </w:r>
      <w:r w:rsidRPr="002C2484">
        <w:rPr>
          <w:rFonts w:ascii="Palatino Linotype" w:hAnsi="Palatino Linotype" w:cs="Arial"/>
        </w:rPr>
        <w:t xml:space="preserve">, en los que el Órgano Garante Nacional, puntualmente dirigió a este Órgano Garante local, que </w:t>
      </w:r>
      <w:r w:rsidRPr="002C2484">
        <w:rPr>
          <w:rFonts w:ascii="Palatino Linotype" w:hAnsi="Palatino Linotype" w:cs="Arial"/>
        </w:rPr>
        <w:lastRenderedPageBreak/>
        <w:t xml:space="preserve">para invocar la causal de reserva, se deben de agotar todos y cada uno de los requisitos. </w:t>
      </w:r>
    </w:p>
    <w:p w:rsidR="001B6597" w:rsidRPr="002C2484" w:rsidRDefault="001B6597" w:rsidP="001B6597">
      <w:pPr>
        <w:pStyle w:val="Prrafodelista"/>
        <w:spacing w:line="360" w:lineRule="auto"/>
        <w:ind w:left="0"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p>
    <w:p w:rsidR="001B6597" w:rsidRPr="002C2484" w:rsidRDefault="001B6597" w:rsidP="001B6597">
      <w:pPr>
        <w:pStyle w:val="Prrafodelista"/>
        <w:spacing w:line="360" w:lineRule="auto"/>
        <w:ind w:left="0"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2C2484">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2C2484">
        <w:rPr>
          <w:rFonts w:ascii="Palatino Linotype" w:hAnsi="Palatino Linotype" w:cs="Arial"/>
          <w:b/>
        </w:rPr>
        <w:t>garantía de los derechos humanos</w:t>
      </w:r>
      <w:r w:rsidRPr="002C2484">
        <w:rPr>
          <w:rFonts w:ascii="Palatino Linotype" w:hAnsi="Palatino Linotype" w:cs="Arial"/>
        </w:rPr>
        <w:t xml:space="preserve">, de tal forma que cualquier esfuerzo que se haga en el sentido de cumplir con dicho </w:t>
      </w:r>
      <w:r w:rsidRPr="002C2484">
        <w:rPr>
          <w:rFonts w:ascii="Palatino Linotype" w:hAnsi="Palatino Linotype" w:cs="Arial"/>
        </w:rPr>
        <w:lastRenderedPageBreak/>
        <w:t>mandato no resulta ocioso ni sobra sino demuestra el grado de compromiso de la autoridad con este aspecto toral de la reforma constitucional del 10 de junio de 2011.</w:t>
      </w:r>
    </w:p>
    <w:p w:rsidR="001B6597" w:rsidRPr="002C2484" w:rsidRDefault="001B6597" w:rsidP="001B6597">
      <w:pPr>
        <w:pStyle w:val="Prrafodelista"/>
        <w:spacing w:before="240" w:after="240" w:line="360" w:lineRule="auto"/>
        <w:ind w:left="0" w:right="49"/>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2C2484">
        <w:rPr>
          <w:rFonts w:ascii="Palatino Linotype" w:hAnsi="Palatino Linotype" w:cs="Arial"/>
        </w:rPr>
        <w:t xml:space="preserve">En este sentido el Dr. Miguel Carbonell ha señalado que: “Queda claro, en consecuencia, que las obligaciones de promoción, respeto, protección y garantía de los derechos corren a cargo de todos los poderes, incluso </w:t>
      </w:r>
      <w:r w:rsidRPr="002C2484">
        <w:rPr>
          <w:rFonts w:ascii="Palatino Linotype" w:hAnsi="Palatino Linotype" w:cs="Arial"/>
          <w:b/>
        </w:rPr>
        <w:t>considerando que algún nivel de gobierno tenga obligaciones reforzadas hacia ciertos derechos.</w:t>
      </w:r>
      <w:r w:rsidRPr="002C2484">
        <w:rPr>
          <w:rFonts w:ascii="Palatino Linotype" w:hAnsi="Palatino Linotype" w:cs="Arial"/>
        </w:rPr>
        <w:t xml:space="preserve"> A partir de tales deberes generales, podemos afirmar que las autoridades de todos los niveles de gobierno también tienen la obligación positiva de </w:t>
      </w:r>
      <w:r w:rsidRPr="002C2484">
        <w:rPr>
          <w:rFonts w:ascii="Palatino Linotype" w:hAnsi="Palatino Linotype" w:cs="Arial"/>
          <w:b/>
        </w:rPr>
        <w:t>tomar todas las medidas que sean pertinentes para tutelar y hacer eficaz un derecho</w:t>
      </w:r>
      <w:r w:rsidRPr="002C2484">
        <w:rPr>
          <w:rFonts w:ascii="Palatino Linotype" w:hAnsi="Palatino Linotype" w:cs="Arial"/>
        </w:rPr>
        <w:t>”.</w:t>
      </w:r>
      <w:r w:rsidRPr="002C2484">
        <w:rPr>
          <w:rStyle w:val="Refdenotaalpie"/>
          <w:rFonts w:ascii="Palatino Linotype" w:hAnsi="Palatino Linotype" w:cs="Arial"/>
        </w:rPr>
        <w:footnoteReference w:id="1"/>
      </w:r>
    </w:p>
    <w:p w:rsidR="001B6597" w:rsidRPr="002C2484" w:rsidRDefault="001B6597" w:rsidP="001B6597">
      <w:pPr>
        <w:pStyle w:val="Prrafodelista"/>
        <w:spacing w:line="360" w:lineRule="auto"/>
        <w:ind w:left="0"/>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2C2484">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1B6597" w:rsidRPr="002C2484" w:rsidRDefault="001B6597" w:rsidP="001B6597">
      <w:pPr>
        <w:pStyle w:val="Prrafodelista"/>
        <w:spacing w:line="360" w:lineRule="auto"/>
        <w:ind w:left="360"/>
        <w:jc w:val="both"/>
        <w:rPr>
          <w:rFonts w:ascii="Palatino Linotype" w:hAnsi="Palatino Linotype" w:cs="Arial"/>
        </w:rPr>
      </w:pPr>
    </w:p>
    <w:p w:rsidR="001B6597" w:rsidRPr="002C2484" w:rsidRDefault="001B6597" w:rsidP="001B6597">
      <w:pPr>
        <w:pStyle w:val="Prrafodelista"/>
        <w:spacing w:line="360" w:lineRule="auto"/>
        <w:ind w:left="851" w:right="616"/>
        <w:jc w:val="both"/>
        <w:rPr>
          <w:rFonts w:ascii="Palatino Linotype" w:hAnsi="Palatino Linotype" w:cs="Arial"/>
        </w:rPr>
      </w:pPr>
      <w:r w:rsidRPr="002C2484">
        <w:rPr>
          <w:rFonts w:ascii="Palatino Linotype" w:hAnsi="Palatino Linotype" w:cs="Arial"/>
        </w:rPr>
        <w:t>“Artículo 185. El instituto resolverá el recurso de revisión conforme a lo siguiente:</w:t>
      </w:r>
    </w:p>
    <w:p w:rsidR="001B6597" w:rsidRPr="002C2484" w:rsidRDefault="001B6597" w:rsidP="001B6597">
      <w:pPr>
        <w:pStyle w:val="Prrafodelista"/>
        <w:spacing w:line="360" w:lineRule="auto"/>
        <w:ind w:left="851" w:right="616"/>
        <w:jc w:val="both"/>
        <w:rPr>
          <w:rFonts w:ascii="Palatino Linotype" w:hAnsi="Palatino Linotype" w:cs="Arial"/>
        </w:rPr>
      </w:pPr>
      <w:r w:rsidRPr="002C2484">
        <w:rPr>
          <w:rFonts w:ascii="Palatino Linotype" w:hAnsi="Palatino Linotype" w:cs="Arial"/>
        </w:rPr>
        <w:t xml:space="preserve">(…) </w:t>
      </w:r>
    </w:p>
    <w:p w:rsidR="001B6597" w:rsidRPr="002C2484" w:rsidRDefault="001B6597" w:rsidP="001B6597">
      <w:pPr>
        <w:pStyle w:val="Prrafodelista"/>
        <w:spacing w:line="360" w:lineRule="auto"/>
        <w:ind w:left="851" w:right="616"/>
        <w:jc w:val="both"/>
        <w:rPr>
          <w:rFonts w:ascii="Palatino Linotype" w:hAnsi="Palatino Linotype" w:cs="Arial"/>
        </w:rPr>
      </w:pPr>
      <w:r w:rsidRPr="002C2484">
        <w:rPr>
          <w:rFonts w:ascii="Palatino Linotype" w:hAnsi="Palatino Linotype" w:cs="Arial"/>
        </w:rPr>
        <w:lastRenderedPageBreak/>
        <w:t xml:space="preserve">V. La o el Comisionado ponente podrá determinar la celebración de audiencias con las partes durante la sustanciación del proceso. </w:t>
      </w:r>
    </w:p>
    <w:p w:rsidR="001B6597" w:rsidRPr="002C2484" w:rsidRDefault="001B6597" w:rsidP="001B6597">
      <w:pPr>
        <w:pStyle w:val="Prrafodelista"/>
        <w:spacing w:line="360" w:lineRule="auto"/>
        <w:ind w:left="851" w:right="616"/>
        <w:jc w:val="both"/>
        <w:rPr>
          <w:rFonts w:ascii="Palatino Linotype" w:hAnsi="Palatino Linotype" w:cs="Arial"/>
        </w:rPr>
      </w:pPr>
      <w:r w:rsidRPr="002C2484">
        <w:rPr>
          <w:rFonts w:ascii="Palatino Linotype" w:hAnsi="Palatino Linotype" w:cs="Arial"/>
        </w:rPr>
        <w:t>(…) “</w:t>
      </w:r>
    </w:p>
    <w:p w:rsidR="001B6597" w:rsidRPr="002C2484" w:rsidRDefault="001B6597" w:rsidP="001B6597">
      <w:pPr>
        <w:spacing w:line="360" w:lineRule="auto"/>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2C2484">
        <w:rPr>
          <w:rFonts w:ascii="Palatino Linotype" w:hAnsi="Palatino Linotype" w:cs="Arial"/>
        </w:rPr>
        <w:t xml:space="preserve">En relación con lo anterior, considero que la ponencia </w:t>
      </w:r>
      <w:proofErr w:type="spellStart"/>
      <w:r w:rsidRPr="002C2484">
        <w:rPr>
          <w:rFonts w:ascii="Palatino Linotype" w:hAnsi="Palatino Linotype" w:cs="Arial"/>
        </w:rPr>
        <w:t>resolutora</w:t>
      </w:r>
      <w:proofErr w:type="spellEnd"/>
      <w:r w:rsidRPr="002C2484">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fehacientemente si la información en posesión del sujeto obligado es susceptible de reservarse. </w:t>
      </w:r>
    </w:p>
    <w:p w:rsidR="00360437" w:rsidRPr="002C2484" w:rsidRDefault="00360437" w:rsidP="00360437">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360437" w:rsidRPr="002C2484" w:rsidRDefault="0036043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2C2484">
        <w:rPr>
          <w:rFonts w:ascii="Palatino Linotype" w:hAnsi="Palatino Linotype" w:cs="Arial"/>
        </w:rPr>
        <w:t>En el caso que nos ocupa analizar, emito voto particular derivado de la naturaleza de la información requerida, dejando al Sujeto Obligado la responsabilidad de determinar si la documentación requerida es susceptible de clasificarse como reser</w:t>
      </w:r>
      <w:r w:rsidR="006C31C4" w:rsidRPr="002C2484">
        <w:rPr>
          <w:rFonts w:ascii="Palatino Linotype" w:hAnsi="Palatino Linotype" w:cs="Arial"/>
        </w:rPr>
        <w:t xml:space="preserve">vada. </w:t>
      </w:r>
    </w:p>
    <w:p w:rsidR="001B6597" w:rsidRPr="002C2484" w:rsidRDefault="001B6597" w:rsidP="001B6597">
      <w:pPr>
        <w:pStyle w:val="Prrafodelista"/>
        <w:spacing w:line="360" w:lineRule="auto"/>
        <w:ind w:left="360"/>
        <w:jc w:val="both"/>
        <w:rPr>
          <w:rFonts w:ascii="Palatino Linotype" w:hAnsi="Palatino Linotype" w:cs="Arial"/>
        </w:rPr>
      </w:pPr>
    </w:p>
    <w:p w:rsidR="001B6597" w:rsidRPr="002C2484" w:rsidRDefault="001B6597" w:rsidP="001B6597">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2C2484">
        <w:rPr>
          <w:rFonts w:ascii="Palatino Linotype" w:hAnsi="Palatino Linotype" w:cs="Arial"/>
        </w:rPr>
        <w:t xml:space="preserve">Una vez expuesto lo anterior, concluyo mi voto particular en la resolución materia del mismo. </w:t>
      </w: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pStyle w:val="Prrafodelista"/>
        <w:spacing w:line="360" w:lineRule="auto"/>
        <w:rPr>
          <w:rFonts w:ascii="Palatino Linotype" w:hAnsi="Palatino Linotype" w:cs="Arial"/>
        </w:rPr>
      </w:pPr>
    </w:p>
    <w:p w:rsidR="001B6597" w:rsidRPr="002C2484" w:rsidRDefault="001B6597" w:rsidP="001B6597">
      <w:pPr>
        <w:spacing w:line="360" w:lineRule="auto"/>
        <w:jc w:val="both"/>
        <w:rPr>
          <w:rFonts w:ascii="Palatino Linotype" w:hAnsi="Palatino Linotype" w:cs="Arial"/>
        </w:rPr>
      </w:pPr>
    </w:p>
    <w:p w:rsidR="001B6597" w:rsidRPr="002C2484" w:rsidRDefault="001B6597" w:rsidP="001B6597">
      <w:pPr>
        <w:pStyle w:val="Sinespaciado"/>
        <w:spacing w:line="360" w:lineRule="auto"/>
        <w:jc w:val="center"/>
        <w:rPr>
          <w:rFonts w:ascii="Palatino Linotype" w:hAnsi="Palatino Linotype"/>
          <w:b/>
          <w:szCs w:val="24"/>
        </w:rPr>
      </w:pPr>
      <w:r w:rsidRPr="002C2484">
        <w:rPr>
          <w:rFonts w:ascii="Palatino Linotype" w:hAnsi="Palatino Linotype"/>
          <w:b/>
          <w:szCs w:val="24"/>
        </w:rPr>
        <w:t>JOSÉ GUADALUPE LUNA HERNÁNDEZ</w:t>
      </w:r>
    </w:p>
    <w:p w:rsidR="001B6597" w:rsidRPr="002C2484" w:rsidRDefault="001B6597" w:rsidP="001B6597">
      <w:pPr>
        <w:pStyle w:val="Sinespaciado"/>
        <w:spacing w:line="360" w:lineRule="auto"/>
        <w:jc w:val="center"/>
        <w:rPr>
          <w:rFonts w:ascii="Palatino Linotype" w:hAnsi="Palatino Linotype"/>
          <w:b/>
          <w:szCs w:val="24"/>
        </w:rPr>
      </w:pPr>
    </w:p>
    <w:p w:rsidR="001B6597" w:rsidRPr="002C2484" w:rsidRDefault="001B6597" w:rsidP="001B6597">
      <w:pPr>
        <w:spacing w:line="360" w:lineRule="auto"/>
        <w:jc w:val="center"/>
        <w:rPr>
          <w:rFonts w:ascii="Palatino Linotype" w:hAnsi="Palatino Linotype"/>
          <w:b/>
        </w:rPr>
      </w:pPr>
      <w:bookmarkStart w:id="7" w:name="_GoBack"/>
      <w:bookmarkEnd w:id="7"/>
      <w:r w:rsidRPr="002C2484">
        <w:rPr>
          <w:rFonts w:ascii="Palatino Linotype" w:hAnsi="Palatino Linotype"/>
          <w:b/>
        </w:rPr>
        <w:t>COMISIONADO</w:t>
      </w:r>
    </w:p>
    <w:p w:rsidR="001B6597" w:rsidRPr="0044164A" w:rsidRDefault="002C2484" w:rsidP="006C31C4">
      <w:pPr>
        <w:spacing w:line="360" w:lineRule="auto"/>
        <w:rPr>
          <w:rFonts w:ascii="Palatino Linotype" w:hAnsi="Palatino Linotype"/>
          <w:b/>
        </w:rPr>
      </w:pPr>
      <w:r>
        <w:rPr>
          <w:rFonts w:ascii="Palatino Linotype" w:hAnsi="Palatino Linotype"/>
          <w:b/>
          <w:noProof/>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110490</wp:posOffset>
                </wp:positionH>
                <wp:positionV relativeFrom="paragraph">
                  <wp:posOffset>199390</wp:posOffset>
                </wp:positionV>
                <wp:extent cx="5448300" cy="44196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48300" cy="441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02E949"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5.7pt" to="437.7pt,3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OTuQEAAMUDAAAOAAAAZHJzL2Uyb0RvYy54bWysU01v2zAMvQ/ofxB0X2x3WdEZcXpI0V2G&#10;Ldi6H6DKVCxAX6C02Pn3o+TELboBw4ZdJFHiI/keqc3dZA07AkbtXcebVc0ZOOl77Q4d//748PaW&#10;s5iE64XxDjp+gsjvtldvNmNo4doP3vSAjIK42I6h40NKoa2qKAewIq58AEePyqMViUw8VD2KkaJb&#10;U13X9U01euwDegkx0u39/Mi3Jb5SINMXpSIkZjpOtaWyYlmf8lptN6I9oAiDlucyxD9UYYV2lHQJ&#10;dS+SYD9Q/xLKaok+epVW0tvKK6UlFA7Epqlfsfk2iACFC4kTwyJT/H9h5efjHpnuqXecOWGpRTtq&#10;lEweGeaNNVmjMcSWXHduj2crhj1mwpNCm3eiwqai62nRFabEJF2+X69v39Ukv6S39br5cEMGxame&#10;4QFj+gjesnzouNEuExetOH6KaXa9uBAulzMXUE7pZCA7G/cVFJGhlE1BlzGCnUF2FDQAQkpwqRCi&#10;1MU7w5Q2ZgHWfwae/TMUyoj9DXhBlMzepQVstfP4u+xpupSsZv+LAjPvLMGT70+lNUUampUi7nmu&#10;8zC+tAv8+fdtfwIAAP//AwBQSwMEFAAGAAgAAAAhANJemyPgAAAACQEAAA8AAABkcnMvZG93bnJl&#10;di54bWxMj09Lw0AQxe+C32EZwZvdNP5JidmUUhBroRSrUI/b7JhEs7Nhd9uk397xpKeZx3u8+U0x&#10;H20nTuhD60jBdJKAQKqcaalW8P72dDMDEaImoztHqOCMAebl5UWhc+MGesXTLtaCSyjkWkETY59L&#10;GaoGrQ4T1yOx9+m81ZGlr6XxeuBy28k0SR6k1S3xhUb3uGyw+t4drYKNX62Wi/X5i7Yfdtin6/32&#10;ZXxW6vpqXDyCiDjGvzD84jM6lMx0cEcyQXSssztOKrid8mR/lt3zclCQpezIspD/Pyh/AAAA//8D&#10;AFBLAQItABQABgAIAAAAIQC2gziS/gAAAOEBAAATAAAAAAAAAAAAAAAAAAAAAABbQ29udGVudF9U&#10;eXBlc10ueG1sUEsBAi0AFAAGAAgAAAAhADj9If/WAAAAlAEAAAsAAAAAAAAAAAAAAAAALwEAAF9y&#10;ZWxzLy5yZWxzUEsBAi0AFAAGAAgAAAAhAL0qI5O5AQAAxQMAAA4AAAAAAAAAAAAAAAAALgIAAGRy&#10;cy9lMm9Eb2MueG1sUEsBAi0AFAAGAAgAAAAhANJemyPgAAAACQEAAA8AAAAAAAAAAAAAAAAAEwQA&#10;AGRycy9kb3ducmV2LnhtbFBLBQYAAAAABAAEAPMAAAAgBQAAAAA=&#10;" strokecolor="#5b9bd5 [3204]" strokeweight=".5pt">
                <v:stroke joinstyle="miter"/>
              </v:line>
            </w:pict>
          </mc:Fallback>
        </mc:AlternateContent>
      </w:r>
    </w:p>
    <w:p w:rsidR="001B6597" w:rsidRPr="004F719D" w:rsidRDefault="001B6597" w:rsidP="001B6597">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ascii="Palatino Linotype" w:hAnsi="Palatino Linotype" w:cs="Arial"/>
          <w:b/>
        </w:rPr>
      </w:pPr>
    </w:p>
    <w:p w:rsidR="00D02E7A" w:rsidRPr="001B6597" w:rsidRDefault="00D02E7A" w:rsidP="001B6597"/>
    <w:sectPr w:rsidR="00D02E7A" w:rsidRPr="001B6597" w:rsidSect="00456B87">
      <w:headerReference w:type="even" r:id="rId7"/>
      <w:headerReference w:type="default" r:id="rId8"/>
      <w:footerReference w:type="default" r:id="rId9"/>
      <w:headerReference w:type="first" r:id="rId10"/>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BA0" w:rsidRDefault="00523BA0" w:rsidP="00E706DA">
      <w:r>
        <w:separator/>
      </w:r>
    </w:p>
  </w:endnote>
  <w:endnote w:type="continuationSeparator" w:id="0">
    <w:p w:rsidR="00523BA0" w:rsidRDefault="00523BA0" w:rsidP="00E7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D0234C">
              <w:rPr>
                <w:rFonts w:ascii="Palatino Linotype" w:hAnsi="Palatino Linotype"/>
                <w:b/>
                <w:bCs/>
                <w:noProof/>
                <w:sz w:val="20"/>
                <w:szCs w:val="20"/>
              </w:rPr>
              <w:t>11</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D0234C">
              <w:rPr>
                <w:rFonts w:ascii="Palatino Linotype" w:hAnsi="Palatino Linotype"/>
                <w:b/>
                <w:bCs/>
                <w:noProof/>
                <w:sz w:val="20"/>
                <w:szCs w:val="20"/>
              </w:rPr>
              <w:t>11</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BA0" w:rsidRDefault="00523BA0" w:rsidP="00E706DA">
      <w:r>
        <w:separator/>
      </w:r>
    </w:p>
  </w:footnote>
  <w:footnote w:type="continuationSeparator" w:id="0">
    <w:p w:rsidR="00523BA0" w:rsidRDefault="00523BA0" w:rsidP="00E706DA">
      <w:r>
        <w:continuationSeparator/>
      </w:r>
    </w:p>
  </w:footnote>
  <w:footnote w:id="1">
    <w:p w:rsidR="001B6597" w:rsidRDefault="001B6597" w:rsidP="001B6597">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D023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D023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D0234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8">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6E6DE1"/>
    <w:multiLevelType w:val="hybridMultilevel"/>
    <w:tmpl w:val="E1261732"/>
    <w:lvl w:ilvl="0" w:tplc="1912220E">
      <w:start w:val="1"/>
      <w:numFmt w:val="decimal"/>
      <w:lvlText w:val="%1."/>
      <w:lvlJc w:val="left"/>
      <w:pPr>
        <w:ind w:left="2127" w:hanging="48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1">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4"/>
  </w:num>
  <w:num w:numId="4">
    <w:abstractNumId w:val="8"/>
  </w:num>
  <w:num w:numId="5">
    <w:abstractNumId w:val="10"/>
  </w:num>
  <w:num w:numId="6">
    <w:abstractNumId w:val="12"/>
  </w:num>
  <w:num w:numId="7">
    <w:abstractNumId w:val="16"/>
  </w:num>
  <w:num w:numId="8">
    <w:abstractNumId w:val="13"/>
  </w:num>
  <w:num w:numId="9">
    <w:abstractNumId w:val="19"/>
  </w:num>
  <w:num w:numId="10">
    <w:abstractNumId w:val="3"/>
  </w:num>
  <w:num w:numId="11">
    <w:abstractNumId w:val="18"/>
  </w:num>
  <w:num w:numId="12">
    <w:abstractNumId w:val="7"/>
  </w:num>
  <w:num w:numId="13">
    <w:abstractNumId w:val="9"/>
  </w:num>
  <w:num w:numId="14">
    <w:abstractNumId w:val="5"/>
  </w:num>
  <w:num w:numId="15">
    <w:abstractNumId w:val="0"/>
  </w:num>
  <w:num w:numId="16">
    <w:abstractNumId w:val="17"/>
  </w:num>
  <w:num w:numId="17">
    <w:abstractNumId w:val="2"/>
  </w:num>
  <w:num w:numId="18">
    <w:abstractNumId w:val="21"/>
  </w:num>
  <w:num w:numId="19">
    <w:abstractNumId w:val="14"/>
  </w:num>
  <w:num w:numId="20">
    <w:abstractNumId w:val="20"/>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44038"/>
    <w:rsid w:val="00073F0D"/>
    <w:rsid w:val="000951B4"/>
    <w:rsid w:val="0009696B"/>
    <w:rsid w:val="00097F15"/>
    <w:rsid w:val="000A620C"/>
    <w:rsid w:val="000A770B"/>
    <w:rsid w:val="000A7B66"/>
    <w:rsid w:val="000F0579"/>
    <w:rsid w:val="000F6CBB"/>
    <w:rsid w:val="00106DB8"/>
    <w:rsid w:val="00117841"/>
    <w:rsid w:val="00122625"/>
    <w:rsid w:val="00127BDE"/>
    <w:rsid w:val="00145D32"/>
    <w:rsid w:val="00172CB0"/>
    <w:rsid w:val="001B6597"/>
    <w:rsid w:val="001D3F34"/>
    <w:rsid w:val="002006FF"/>
    <w:rsid w:val="002036ED"/>
    <w:rsid w:val="00232B6D"/>
    <w:rsid w:val="00232CA3"/>
    <w:rsid w:val="002620E9"/>
    <w:rsid w:val="00281310"/>
    <w:rsid w:val="002A7C7A"/>
    <w:rsid w:val="002B1625"/>
    <w:rsid w:val="002C0F80"/>
    <w:rsid w:val="002C2484"/>
    <w:rsid w:val="002D0298"/>
    <w:rsid w:val="002E7894"/>
    <w:rsid w:val="003007A7"/>
    <w:rsid w:val="00302274"/>
    <w:rsid w:val="00360437"/>
    <w:rsid w:val="003605A5"/>
    <w:rsid w:val="003747A5"/>
    <w:rsid w:val="003B44CB"/>
    <w:rsid w:val="003C4797"/>
    <w:rsid w:val="003D6E63"/>
    <w:rsid w:val="00410C93"/>
    <w:rsid w:val="00441939"/>
    <w:rsid w:val="004472A9"/>
    <w:rsid w:val="0045568A"/>
    <w:rsid w:val="00456B87"/>
    <w:rsid w:val="0046491C"/>
    <w:rsid w:val="00476094"/>
    <w:rsid w:val="00511A5B"/>
    <w:rsid w:val="00523BA0"/>
    <w:rsid w:val="00547195"/>
    <w:rsid w:val="005474BE"/>
    <w:rsid w:val="00556CD4"/>
    <w:rsid w:val="00570595"/>
    <w:rsid w:val="005833D9"/>
    <w:rsid w:val="005A3267"/>
    <w:rsid w:val="005C0E03"/>
    <w:rsid w:val="005C2977"/>
    <w:rsid w:val="005D7E6E"/>
    <w:rsid w:val="005F5DBB"/>
    <w:rsid w:val="00602B26"/>
    <w:rsid w:val="00606E42"/>
    <w:rsid w:val="00634736"/>
    <w:rsid w:val="006728FD"/>
    <w:rsid w:val="006773D4"/>
    <w:rsid w:val="006C31C4"/>
    <w:rsid w:val="006E0BA8"/>
    <w:rsid w:val="00717C0D"/>
    <w:rsid w:val="0072136B"/>
    <w:rsid w:val="0073790E"/>
    <w:rsid w:val="00770016"/>
    <w:rsid w:val="00770B87"/>
    <w:rsid w:val="00790E37"/>
    <w:rsid w:val="00794A84"/>
    <w:rsid w:val="007A23D1"/>
    <w:rsid w:val="007E3A91"/>
    <w:rsid w:val="0082270E"/>
    <w:rsid w:val="008275ED"/>
    <w:rsid w:val="00850252"/>
    <w:rsid w:val="0085533E"/>
    <w:rsid w:val="00856FA1"/>
    <w:rsid w:val="008822B3"/>
    <w:rsid w:val="008A4DAF"/>
    <w:rsid w:val="008B03B6"/>
    <w:rsid w:val="008C13C7"/>
    <w:rsid w:val="008D7AF8"/>
    <w:rsid w:val="008F3E81"/>
    <w:rsid w:val="008F735D"/>
    <w:rsid w:val="008F7578"/>
    <w:rsid w:val="00900E75"/>
    <w:rsid w:val="00902248"/>
    <w:rsid w:val="00914A41"/>
    <w:rsid w:val="00920A6F"/>
    <w:rsid w:val="00926781"/>
    <w:rsid w:val="00957232"/>
    <w:rsid w:val="00996597"/>
    <w:rsid w:val="009C3135"/>
    <w:rsid w:val="009C41CC"/>
    <w:rsid w:val="009C5421"/>
    <w:rsid w:val="009E7FFA"/>
    <w:rsid w:val="00A63717"/>
    <w:rsid w:val="00AB023D"/>
    <w:rsid w:val="00AC381E"/>
    <w:rsid w:val="00AD5651"/>
    <w:rsid w:val="00AE1193"/>
    <w:rsid w:val="00AF3716"/>
    <w:rsid w:val="00B10A66"/>
    <w:rsid w:val="00B10C1A"/>
    <w:rsid w:val="00B212C4"/>
    <w:rsid w:val="00B4109D"/>
    <w:rsid w:val="00B46F4B"/>
    <w:rsid w:val="00BC7B0C"/>
    <w:rsid w:val="00BE3B45"/>
    <w:rsid w:val="00C03D41"/>
    <w:rsid w:val="00C128C9"/>
    <w:rsid w:val="00C526F2"/>
    <w:rsid w:val="00C91180"/>
    <w:rsid w:val="00CE0823"/>
    <w:rsid w:val="00CE60A9"/>
    <w:rsid w:val="00D01FF9"/>
    <w:rsid w:val="00D0234C"/>
    <w:rsid w:val="00D02E7A"/>
    <w:rsid w:val="00D12DE7"/>
    <w:rsid w:val="00D26449"/>
    <w:rsid w:val="00D33AF9"/>
    <w:rsid w:val="00D72985"/>
    <w:rsid w:val="00D73077"/>
    <w:rsid w:val="00D7508B"/>
    <w:rsid w:val="00DB4794"/>
    <w:rsid w:val="00DF6F7E"/>
    <w:rsid w:val="00E44CE3"/>
    <w:rsid w:val="00E67B8D"/>
    <w:rsid w:val="00E706DA"/>
    <w:rsid w:val="00E83E93"/>
    <w:rsid w:val="00EA4F61"/>
    <w:rsid w:val="00EB0906"/>
    <w:rsid w:val="00EB3B6B"/>
    <w:rsid w:val="00ED4A1D"/>
    <w:rsid w:val="00F130BF"/>
    <w:rsid w:val="00F21D90"/>
    <w:rsid w:val="00F53A7A"/>
    <w:rsid w:val="00F65F7E"/>
    <w:rsid w:val="00F857BC"/>
    <w:rsid w:val="00FC3471"/>
    <w:rsid w:val="00FE6B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659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uiPriority w:val="9"/>
    <w:qFormat/>
    <w:rsid w:val="00232B6D"/>
    <w:pPr>
      <w:keepNext/>
      <w:keepLines/>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semiHidden/>
    <w:unhideWhenUsed/>
    <w:qFormat/>
    <w:rsid w:val="00232B6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tabs>
        <w:tab w:val="center" w:pos="4419"/>
        <w:tab w:val="right" w:pos="8838"/>
      </w:tabs>
    </w:p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tabs>
        <w:tab w:val="center" w:pos="4419"/>
        <w:tab w:val="right" w:pos="8838"/>
      </w:tabs>
    </w:p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706DA"/>
    <w:pPr>
      <w:ind w:left="720"/>
      <w:contextualSpacing/>
    </w:pPr>
  </w:style>
  <w:style w:type="paragraph" w:styleId="Textodeglobo">
    <w:name w:val="Balloon Text"/>
    <w:basedOn w:val="Normal"/>
    <w:link w:val="TextodegloboCar"/>
    <w:uiPriority w:val="99"/>
    <w:semiHidden/>
    <w:unhideWhenUsed/>
    <w:rsid w:val="005A326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 w:type="character" w:customStyle="1" w:styleId="SinespaciadoCar">
    <w:name w:val="Sin espaciado Car"/>
    <w:aliases w:val="Francesa Car"/>
    <w:link w:val="Sinespaciado"/>
    <w:uiPriority w:val="1"/>
    <w:locked/>
    <w:rsid w:val="001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1974</Words>
  <Characters>10857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2018-11-22T02:17:00Z</cp:lastPrinted>
  <dcterms:created xsi:type="dcterms:W3CDTF">2018-11-22T02:18:00Z</dcterms:created>
  <dcterms:modified xsi:type="dcterms:W3CDTF">2018-12-18T02:03:00Z</dcterms:modified>
</cp:coreProperties>
</file>